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61D" w:rsidRPr="00CE361D" w:rsidRDefault="00CE361D" w:rsidP="00CE36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CE36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Anexa 1</w:t>
      </w:r>
    </w:p>
    <w:p w:rsidR="00CE361D" w:rsidRPr="00CE361D" w:rsidRDefault="00CE361D" w:rsidP="00CE36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o-RO"/>
        </w:rPr>
      </w:pPr>
    </w:p>
    <w:p w:rsidR="00CE361D" w:rsidRPr="00CE361D" w:rsidRDefault="00CE361D" w:rsidP="00CE3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CE36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FIŞA DISCIPLINEI </w:t>
      </w:r>
    </w:p>
    <w:p w:rsidR="00CE361D" w:rsidRPr="00CE361D" w:rsidRDefault="00CE361D" w:rsidP="00CE3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CE361D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(</w:t>
      </w:r>
      <w:proofErr w:type="spellStart"/>
      <w:r w:rsidRPr="00CE361D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licenţă</w:t>
      </w:r>
      <w:proofErr w:type="spellEnd"/>
      <w:r w:rsidRPr="00CE361D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)</w:t>
      </w:r>
    </w:p>
    <w:p w:rsidR="00CE361D" w:rsidRPr="00CE361D" w:rsidRDefault="00CE361D" w:rsidP="00CE361D">
      <w:pPr>
        <w:numPr>
          <w:ilvl w:val="0"/>
          <w:numId w:val="1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339"/>
      </w:tblGrid>
      <w:tr w:rsidR="00CE361D" w:rsidRPr="00CE361D" w:rsidTr="00F12484">
        <w:trPr>
          <w:trHeight w:val="301"/>
        </w:trPr>
        <w:tc>
          <w:tcPr>
            <w:tcW w:w="1673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Instituţia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învăţământ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3327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Universitatea „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Ştefan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cel Mare” din Suceava</w:t>
            </w:r>
          </w:p>
        </w:tc>
      </w:tr>
      <w:tr w:rsidR="00CE361D" w:rsidRPr="00CE361D" w:rsidTr="00F12484">
        <w:trPr>
          <w:trHeight w:val="301"/>
        </w:trPr>
        <w:tc>
          <w:tcPr>
            <w:tcW w:w="1673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Drept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și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Ştiinţe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Administrative</w:t>
            </w:r>
          </w:p>
        </w:tc>
      </w:tr>
      <w:tr w:rsidR="00CE361D" w:rsidRPr="00CE361D" w:rsidTr="00F12484">
        <w:trPr>
          <w:trHeight w:val="317"/>
        </w:trPr>
        <w:tc>
          <w:tcPr>
            <w:tcW w:w="1673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Drept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și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Științe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Administrative</w:t>
            </w:r>
          </w:p>
        </w:tc>
      </w:tr>
      <w:tr w:rsidR="00CE361D" w:rsidRPr="00CE361D" w:rsidTr="00F12484">
        <w:trPr>
          <w:trHeight w:val="301"/>
        </w:trPr>
        <w:tc>
          <w:tcPr>
            <w:tcW w:w="1673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Ştiinţe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Administrative</w:t>
            </w:r>
          </w:p>
        </w:tc>
      </w:tr>
      <w:tr w:rsidR="00CE361D" w:rsidRPr="00CE361D" w:rsidTr="00F12484">
        <w:trPr>
          <w:trHeight w:val="301"/>
        </w:trPr>
        <w:tc>
          <w:tcPr>
            <w:tcW w:w="1673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Licenţă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  <w:tr w:rsidR="00CE361D" w:rsidRPr="00CE361D" w:rsidTr="00F12484">
        <w:trPr>
          <w:trHeight w:val="301"/>
        </w:trPr>
        <w:tc>
          <w:tcPr>
            <w:tcW w:w="1673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27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Poliție Locală</w:t>
            </w: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391"/>
        <w:gridCol w:w="1152"/>
        <w:gridCol w:w="226"/>
        <w:gridCol w:w="902"/>
        <w:gridCol w:w="471"/>
        <w:gridCol w:w="1375"/>
        <w:gridCol w:w="1947"/>
        <w:gridCol w:w="1018"/>
        <w:gridCol w:w="879"/>
      </w:tblGrid>
      <w:tr w:rsidR="00CE361D" w:rsidRPr="00CE361D" w:rsidTr="00F12484">
        <w:trPr>
          <w:trHeight w:val="291"/>
        </w:trPr>
        <w:tc>
          <w:tcPr>
            <w:tcW w:w="1439" w:type="pct"/>
            <w:gridSpan w:val="3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7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LIMBI MODERNE APLICATE IN STIINTE ADMINISTRATIVE</w:t>
            </w:r>
          </w:p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(LIMBA ENGLEZĂ)</w:t>
            </w:r>
          </w:p>
        </w:tc>
      </w:tr>
      <w:tr w:rsidR="00CE361D" w:rsidRPr="00CE361D" w:rsidTr="00F12484">
        <w:trPr>
          <w:trHeight w:val="291"/>
        </w:trPr>
        <w:tc>
          <w:tcPr>
            <w:tcW w:w="2028" w:type="pct"/>
            <w:gridSpan w:val="5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Titularul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activităţilor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2972" w:type="pct"/>
            <w:gridSpan w:val="5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CE361D" w:rsidRPr="00CE361D" w:rsidTr="00F12484">
        <w:trPr>
          <w:trHeight w:val="291"/>
        </w:trPr>
        <w:tc>
          <w:tcPr>
            <w:tcW w:w="2028" w:type="pct"/>
            <w:gridSpan w:val="5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Titularul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2972" w:type="pct"/>
            <w:gridSpan w:val="5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Lector  univ. dr. GALEȘ Narcisa</w:t>
            </w:r>
          </w:p>
        </w:tc>
      </w:tr>
      <w:tr w:rsidR="00CE361D" w:rsidRPr="00CE361D" w:rsidTr="00F12484">
        <w:trPr>
          <w:trHeight w:val="175"/>
        </w:trPr>
        <w:tc>
          <w:tcPr>
            <w:tcW w:w="837" w:type="pct"/>
            <w:gridSpan w:val="2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</w:t>
            </w:r>
          </w:p>
        </w:tc>
        <w:tc>
          <w:tcPr>
            <w:tcW w:w="717" w:type="pct"/>
            <w:gridSpan w:val="2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017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Colocviu</w:t>
            </w:r>
          </w:p>
        </w:tc>
      </w:tr>
      <w:tr w:rsidR="00CE361D" w:rsidRPr="00CE361D" w:rsidTr="00F12484">
        <w:trPr>
          <w:trHeight w:val="175"/>
        </w:trPr>
        <w:tc>
          <w:tcPr>
            <w:tcW w:w="633" w:type="pct"/>
            <w:vMerge w:val="restar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8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Categoria formativă a disciplinei 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DS</w:t>
            </w:r>
          </w:p>
        </w:tc>
      </w:tr>
      <w:tr w:rsidR="00CE361D" w:rsidRPr="00CE361D" w:rsidTr="00F12484">
        <w:trPr>
          <w:trHeight w:val="175"/>
        </w:trPr>
        <w:tc>
          <w:tcPr>
            <w:tcW w:w="633" w:type="pct"/>
            <w:vMerge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8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Categoria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opţionalitate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disciplinei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 -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impusă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DO -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opţională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DF -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facultativă</w:t>
            </w:r>
            <w:proofErr w:type="spellEnd"/>
          </w:p>
        </w:tc>
        <w:tc>
          <w:tcPr>
            <w:tcW w:w="459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DI</w:t>
            </w: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Timpul total estimat </w:t>
      </w:r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 xml:space="preserve">(ore alocate </w:t>
      </w:r>
      <w:proofErr w:type="spellStart"/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>activităţilor</w:t>
      </w:r>
      <w:proofErr w:type="spellEnd"/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 xml:space="preserve">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9"/>
        <w:gridCol w:w="445"/>
        <w:gridCol w:w="594"/>
        <w:gridCol w:w="387"/>
        <w:gridCol w:w="911"/>
        <w:gridCol w:w="499"/>
        <w:gridCol w:w="1582"/>
        <w:gridCol w:w="516"/>
        <w:gridCol w:w="783"/>
        <w:gridCol w:w="412"/>
      </w:tblGrid>
      <w:tr w:rsidR="00CE361D" w:rsidRPr="00CE361D" w:rsidTr="00F12484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CE361D" w:rsidRPr="00CE361D" w:rsidTr="00F12484">
        <w:trPr>
          <w:trHeight w:val="249"/>
        </w:trPr>
        <w:tc>
          <w:tcPr>
            <w:tcW w:w="1837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I b) Totalul de ore pe semestru din planul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251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28</w:t>
            </w:r>
          </w:p>
        </w:tc>
        <w:tc>
          <w:tcPr>
            <w:tcW w:w="320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93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28</w:t>
            </w:r>
          </w:p>
        </w:tc>
        <w:tc>
          <w:tcPr>
            <w:tcW w:w="645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</w:tr>
    </w:tbl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9"/>
        <w:gridCol w:w="1009"/>
      </w:tblGrid>
      <w:tr w:rsidR="00CE361D" w:rsidRPr="00CE361D" w:rsidTr="00F12484">
        <w:trPr>
          <w:trHeight w:val="226"/>
        </w:trPr>
        <w:tc>
          <w:tcPr>
            <w:tcW w:w="4476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II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Distribuţia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22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ore</w:t>
            </w:r>
          </w:p>
        </w:tc>
      </w:tr>
      <w:tr w:rsidR="00CE361D" w:rsidRPr="00CE361D" w:rsidTr="00F12484">
        <w:trPr>
          <w:trHeight w:val="185"/>
        </w:trPr>
        <w:tc>
          <w:tcPr>
            <w:tcW w:w="4476" w:type="pct"/>
          </w:tcPr>
          <w:p w:rsidR="00CE361D" w:rsidRPr="00CE361D" w:rsidRDefault="00CE361D" w:rsidP="00CE361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II a) Studiul după manual, suport de curs, bibliografie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notiţe</w:t>
            </w:r>
            <w:proofErr w:type="spellEnd"/>
          </w:p>
        </w:tc>
        <w:tc>
          <w:tcPr>
            <w:tcW w:w="524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10</w:t>
            </w:r>
          </w:p>
        </w:tc>
      </w:tr>
      <w:tr w:rsidR="00CE361D" w:rsidRPr="00CE361D" w:rsidTr="00F12484">
        <w:trPr>
          <w:trHeight w:val="231"/>
        </w:trPr>
        <w:tc>
          <w:tcPr>
            <w:tcW w:w="4476" w:type="pct"/>
          </w:tcPr>
          <w:p w:rsidR="00CE361D" w:rsidRPr="00CE361D" w:rsidRDefault="00CE361D" w:rsidP="00CE361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II b) Documentare suplimentară în bibliotecă, pe platformele electronice de specialitate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524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</w:tr>
      <w:tr w:rsidR="00CE361D" w:rsidRPr="00CE361D" w:rsidTr="00F12484">
        <w:trPr>
          <w:trHeight w:val="277"/>
        </w:trPr>
        <w:tc>
          <w:tcPr>
            <w:tcW w:w="4476" w:type="pct"/>
          </w:tcPr>
          <w:p w:rsidR="00CE361D" w:rsidRPr="00CE361D" w:rsidRDefault="00CE361D" w:rsidP="00CE361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II c) Pregătire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seminarii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/laboratoare, teme, referate, portofolii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524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7</w:t>
            </w:r>
          </w:p>
        </w:tc>
      </w:tr>
      <w:tr w:rsidR="00CE361D" w:rsidRPr="00CE361D" w:rsidTr="00F12484">
        <w:trPr>
          <w:trHeight w:val="226"/>
        </w:trPr>
        <w:tc>
          <w:tcPr>
            <w:tcW w:w="4476" w:type="pct"/>
          </w:tcPr>
          <w:p w:rsidR="00CE361D" w:rsidRPr="00CE361D" w:rsidRDefault="00CE361D" w:rsidP="00CE361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II d)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Tutoriat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4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CE361D" w:rsidRPr="00CE361D" w:rsidTr="00F12484">
        <w:trPr>
          <w:trHeight w:val="226"/>
        </w:trPr>
        <w:tc>
          <w:tcPr>
            <w:tcW w:w="4476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2</w:t>
            </w:r>
          </w:p>
        </w:tc>
      </w:tr>
      <w:tr w:rsidR="00CE361D" w:rsidRPr="00CE361D" w:rsidTr="00F12484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IV Alte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activităţi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precizaţi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</w:tbl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CE361D" w:rsidRPr="00CE361D" w:rsidTr="00F12484">
        <w:trPr>
          <w:trHeight w:val="226"/>
        </w:trPr>
        <w:tc>
          <w:tcPr>
            <w:tcW w:w="4219" w:type="dxa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Total ore studiu individual II 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a+b+c+d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701" w:type="dxa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20</w:t>
            </w:r>
          </w:p>
        </w:tc>
      </w:tr>
      <w:tr w:rsidR="00CE361D" w:rsidRPr="00CE361D" w:rsidTr="00F12484">
        <w:trPr>
          <w:trHeight w:val="226"/>
        </w:trPr>
        <w:tc>
          <w:tcPr>
            <w:tcW w:w="4219" w:type="dxa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Total ore pe semestru 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Ib+II+III+IV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701" w:type="dxa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50</w:t>
            </w:r>
          </w:p>
        </w:tc>
      </w:tr>
      <w:tr w:rsidR="00CE361D" w:rsidRPr="00CE361D" w:rsidTr="00F12484">
        <w:trPr>
          <w:trHeight w:val="226"/>
        </w:trPr>
        <w:tc>
          <w:tcPr>
            <w:tcW w:w="4219" w:type="dxa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2</w:t>
            </w: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Precondiţii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</w:t>
      </w:r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8415"/>
      </w:tblGrid>
      <w:tr w:rsidR="00CE361D" w:rsidRPr="00CE361D" w:rsidTr="00F12484">
        <w:tc>
          <w:tcPr>
            <w:tcW w:w="63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:rsidR="00CE361D" w:rsidRPr="00CE361D" w:rsidRDefault="00CE361D" w:rsidP="00CE361D">
            <w:pPr>
              <w:numPr>
                <w:ilvl w:val="0"/>
                <w:numId w:val="4"/>
              </w:numPr>
              <w:tabs>
                <w:tab w:val="num" w:pos="459"/>
              </w:tabs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CE361D" w:rsidRPr="00CE361D" w:rsidTr="00F12484">
        <w:tc>
          <w:tcPr>
            <w:tcW w:w="63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Competenţe</w:t>
            </w:r>
            <w:proofErr w:type="spellEnd"/>
          </w:p>
        </w:tc>
        <w:tc>
          <w:tcPr>
            <w:tcW w:w="4370" w:type="pct"/>
          </w:tcPr>
          <w:p w:rsidR="00CE361D" w:rsidRPr="00CE361D" w:rsidRDefault="00CE361D" w:rsidP="00CE361D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Condiţii</w:t>
      </w:r>
      <w:proofErr w:type="spellEnd"/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582"/>
        <w:gridCol w:w="6841"/>
      </w:tblGrid>
      <w:tr w:rsidR="00CE361D" w:rsidRPr="00CE361D" w:rsidTr="00F12484">
        <w:tc>
          <w:tcPr>
            <w:tcW w:w="1365" w:type="pct"/>
            <w:gridSpan w:val="2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Desfăşurare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a cursului</w:t>
            </w:r>
          </w:p>
        </w:tc>
        <w:tc>
          <w:tcPr>
            <w:tcW w:w="3635" w:type="pct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CE361D" w:rsidRPr="00CE361D" w:rsidTr="00F12484">
        <w:tc>
          <w:tcPr>
            <w:tcW w:w="709" w:type="pct"/>
            <w:vMerge w:val="restar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Desfăşurare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aplicaţii</w:t>
            </w:r>
            <w:proofErr w:type="spellEnd"/>
          </w:p>
        </w:tc>
        <w:tc>
          <w:tcPr>
            <w:tcW w:w="656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Laptop, 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conexiune la internet, suportul de curs în formatul pus la dispoziția studentului</w:t>
            </w:r>
          </w:p>
        </w:tc>
      </w:tr>
      <w:tr w:rsidR="00CE361D" w:rsidRPr="00CE361D" w:rsidTr="00F12484">
        <w:tc>
          <w:tcPr>
            <w:tcW w:w="709" w:type="pct"/>
            <w:vMerge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635" w:type="pct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CE361D" w:rsidRPr="00CE361D" w:rsidTr="00F12484">
        <w:tc>
          <w:tcPr>
            <w:tcW w:w="709" w:type="pct"/>
            <w:vMerge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</w:t>
            </w:r>
          </w:p>
        </w:tc>
      </w:tr>
    </w:tbl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Competenţe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specifice acumulate </w:t>
      </w: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8535"/>
      </w:tblGrid>
      <w:tr w:rsidR="00CE361D" w:rsidRPr="00CE361D" w:rsidTr="00F12484">
        <w:tc>
          <w:tcPr>
            <w:tcW w:w="604" w:type="pct"/>
            <w:shd w:val="clear" w:color="auto" w:fill="auto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Competenţe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4396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CP</w:t>
            </w:r>
            <w:r w:rsidRPr="009068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Pr="00906825">
              <w:rPr>
                <w:rFonts w:ascii="Times New Roman" w:eastAsia="Times New Roman" w:hAnsi="Times New Roman" w:cs="Times New Roman"/>
                <w:sz w:val="20"/>
                <w:szCs w:val="20"/>
              </w:rPr>
              <w:t>Aderă</w:t>
            </w:r>
            <w:proofErr w:type="spellEnd"/>
            <w:r w:rsidRPr="009068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906825">
              <w:rPr>
                <w:rFonts w:ascii="Times New Roman" w:eastAsia="Times New Roman" w:hAnsi="Times New Roman" w:cs="Times New Roman"/>
                <w:sz w:val="20"/>
                <w:szCs w:val="20"/>
              </w:rPr>
              <w:t>codul</w:t>
            </w:r>
            <w:proofErr w:type="spellEnd"/>
            <w:r w:rsidRPr="009068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06825">
              <w:rPr>
                <w:rFonts w:ascii="Times New Roman" w:eastAsia="Times New Roman" w:hAnsi="Times New Roman" w:cs="Times New Roman"/>
                <w:sz w:val="20"/>
                <w:szCs w:val="20"/>
              </w:rPr>
              <w:t>etică</w:t>
            </w:r>
            <w:proofErr w:type="spellEnd"/>
            <w:r w:rsidRPr="009068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6825">
              <w:rPr>
                <w:rFonts w:ascii="Times New Roman" w:eastAsia="Times New Roman" w:hAnsi="Times New Roman" w:cs="Times New Roman"/>
                <w:sz w:val="20"/>
                <w:szCs w:val="20"/>
              </w:rPr>
              <w:t>organizațională</w:t>
            </w:r>
            <w:proofErr w:type="spellEnd"/>
          </w:p>
        </w:tc>
      </w:tr>
      <w:tr w:rsidR="00CE361D" w:rsidRPr="00CE361D" w:rsidTr="00F12484">
        <w:trPr>
          <w:trHeight w:val="539"/>
        </w:trPr>
        <w:tc>
          <w:tcPr>
            <w:tcW w:w="604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>Competenţe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4396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CE361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 xml:space="preserve">CT2. </w:t>
            </w:r>
            <w:proofErr w:type="spellStart"/>
            <w:r w:rsidRPr="00CE361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Lucrează</w:t>
            </w:r>
            <w:proofErr w:type="spellEnd"/>
            <w:r w:rsidRPr="00CE361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în</w:t>
            </w:r>
            <w:proofErr w:type="spellEnd"/>
            <w:r w:rsidRPr="00CE361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echipe</w:t>
            </w:r>
            <w:proofErr w:type="spellEnd"/>
            <w:r w:rsidRPr="00CE361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;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Obiectivele disciplinei </w:t>
      </w:r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>(</w:t>
      </w:r>
      <w:proofErr w:type="spellStart"/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>reieşind</w:t>
      </w:r>
      <w:proofErr w:type="spellEnd"/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 xml:space="preserve"> din grila </w:t>
      </w:r>
      <w:proofErr w:type="spellStart"/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>competenţelor</w:t>
      </w:r>
      <w:proofErr w:type="spellEnd"/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6670"/>
      </w:tblGrid>
      <w:tr w:rsidR="00CE361D" w:rsidRPr="00CE361D" w:rsidTr="00F12484">
        <w:trPr>
          <w:trHeight w:val="431"/>
        </w:trPr>
        <w:tc>
          <w:tcPr>
            <w:tcW w:w="1536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26"/>
              </w:tabs>
              <w:spacing w:after="0" w:line="240" w:lineRule="auto"/>
              <w:ind w:left="126" w:hanging="12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Obiectivul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cursului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constituie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atat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familiarizarea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studenţilor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limbajul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român-englez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cat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insusirea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vocabularului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juridic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introdus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texte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specifice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domeniului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CP6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CT2)</w:t>
            </w: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Conţinuturi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782"/>
        <w:gridCol w:w="1943"/>
        <w:gridCol w:w="1949"/>
      </w:tblGrid>
      <w:tr w:rsidR="00CE361D" w:rsidRPr="00CE361D" w:rsidTr="00F12484">
        <w:tc>
          <w:tcPr>
            <w:tcW w:w="2573" w:type="pct"/>
            <w:shd w:val="clear" w:color="auto" w:fill="auto"/>
            <w:vAlign w:val="center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CE361D" w:rsidRPr="00CE361D" w:rsidTr="00F12484">
        <w:tc>
          <w:tcPr>
            <w:tcW w:w="2573" w:type="pct"/>
            <w:shd w:val="clear" w:color="auto" w:fill="auto"/>
            <w:vAlign w:val="center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CE361D" w:rsidRPr="00CE361D" w:rsidTr="00F12484">
        <w:tc>
          <w:tcPr>
            <w:tcW w:w="2573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CE361D" w:rsidRPr="00CE361D" w:rsidTr="00F12484">
        <w:tc>
          <w:tcPr>
            <w:tcW w:w="2573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o-RO"/>
              </w:rPr>
            </w:pPr>
          </w:p>
        </w:tc>
      </w:tr>
      <w:tr w:rsidR="00CE361D" w:rsidRPr="00CE361D" w:rsidTr="00F12484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Bibliografie</w:t>
            </w:r>
          </w:p>
        </w:tc>
      </w:tr>
      <w:tr w:rsidR="00CE361D" w:rsidRPr="00CE361D" w:rsidTr="00F12484">
        <w:tc>
          <w:tcPr>
            <w:tcW w:w="5000" w:type="pct"/>
            <w:gridSpan w:val="4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CE361D" w:rsidRPr="00CE361D" w:rsidTr="00F12484">
        <w:tc>
          <w:tcPr>
            <w:tcW w:w="5000" w:type="pct"/>
            <w:gridSpan w:val="4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Bibliografie minimală</w:t>
            </w:r>
          </w:p>
        </w:tc>
      </w:tr>
      <w:tr w:rsidR="00CE361D" w:rsidRPr="00CE361D" w:rsidTr="00F12484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Aplicaţii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(Seminar / laborator / lucrări practice / proiect)</w:t>
            </w: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Seminar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introductiv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Familiarizarea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studenţilor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conţinutul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seminarului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prezentarea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unor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detalii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organizatorice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9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Expunerea</w:t>
            </w:r>
            <w:proofErr w:type="spellEnd"/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Conversaţia</w:t>
            </w:r>
            <w:proofErr w:type="spellEnd"/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Kinds of public enterprises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tipuri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institutii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publice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Prelegere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comunicare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orală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exerciții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citire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scriere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audiție</w:t>
            </w:r>
            <w:proofErr w:type="spellEnd"/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Resurse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/>
              </w:rPr>
              <w:t>materiale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curs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tiparit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texte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legislative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limba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romana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engleza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materiale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video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si audio, Internet,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culegeri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exercitii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gramatica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dictionare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etc.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Public enterprises at the crossroads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institutiile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publice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rascruce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Prelegere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discușii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exerciții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traducere</w:t>
            </w:r>
            <w:proofErr w:type="spellEnd"/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Traduceri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diverse din: </w:t>
            </w: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English for Business and Administration, pp. 2-55, English for Meetings-pp. 5-75</w:t>
            </w:r>
          </w:p>
        </w:tc>
      </w:tr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Public enterprises between two sectors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institutiile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publice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intre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doua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sectoare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Exerciții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vocabular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prelegere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audiție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conversație</w:t>
            </w:r>
            <w:proofErr w:type="spellEnd"/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Translations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traduceri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Prelegere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exerciții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conversație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traduceri</w:t>
            </w:r>
            <w:proofErr w:type="spellEnd"/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Traduceri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diverse din: </w:t>
            </w: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English for Business and Administration, pp. 2-55, English for Meetings-pp. 5-75</w:t>
            </w:r>
          </w:p>
        </w:tc>
      </w:tr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New ways of doing business call for new laws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noile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modalitati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a face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afaceri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cer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legi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noi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Exerciții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vocabular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discuții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teme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date</w:t>
            </w:r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An exchange of letters</w:t>
            </w:r>
          </w:p>
          <w:p w:rsidR="00CE361D" w:rsidRPr="00CE361D" w:rsidRDefault="00CE361D" w:rsidP="00CE361D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schimbul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scrisori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Prelegere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exerciții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vocabular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audiție</w:t>
            </w:r>
            <w:proofErr w:type="spellEnd"/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61D" w:rsidRPr="00CE361D" w:rsidTr="00F12484">
        <w:trPr>
          <w:trHeight w:val="190"/>
        </w:trPr>
        <w:tc>
          <w:tcPr>
            <w:tcW w:w="2553" w:type="pct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Revision of main themes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recapitularea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principalelor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subiecte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tratate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361D" w:rsidRPr="00CE361D" w:rsidRDefault="00CE361D" w:rsidP="00CE361D">
            <w:pPr>
              <w:tabs>
                <w:tab w:val="left" w:pos="36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26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Prelegere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exerciții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citire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discuții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libere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audișie</w:t>
            </w:r>
            <w:proofErr w:type="spellEnd"/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361D" w:rsidRPr="00CE361D" w:rsidTr="00F12484">
        <w:tc>
          <w:tcPr>
            <w:tcW w:w="5000" w:type="pct"/>
            <w:gridSpan w:val="4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Bibliografie</w:t>
            </w:r>
          </w:p>
        </w:tc>
      </w:tr>
      <w:tr w:rsidR="00CE361D" w:rsidRPr="00CE361D" w:rsidTr="00F12484">
        <w:tc>
          <w:tcPr>
            <w:tcW w:w="5000" w:type="pct"/>
            <w:gridSpan w:val="4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E361D" w:rsidRPr="00CE361D" w:rsidRDefault="00CE361D" w:rsidP="00CE361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English for Meetings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Kenneth Thomson,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All Educational,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Bucuresti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2016</w:t>
            </w:r>
          </w:p>
          <w:p w:rsidR="00CE361D" w:rsidRPr="00CE361D" w:rsidRDefault="00CE361D" w:rsidP="00CE361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https://www.everand.com/book/513375998/Glossary-A-Law-Student-s-Reference-Guide</w:t>
            </w:r>
          </w:p>
          <w:p w:rsidR="00CE361D" w:rsidRPr="00CE361D" w:rsidRDefault="00CE361D" w:rsidP="00CE361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English for Business and Administration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Prosper with English, British Council,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Cavallioti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Publishers, Bucharest, 2010</w:t>
            </w:r>
          </w:p>
          <w:p w:rsidR="00CE361D" w:rsidRPr="00CE361D" w:rsidRDefault="00CE361D" w:rsidP="00CE361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Teste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Limba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Engleza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pentru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nivel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avansat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Ewa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Kolodziejska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Anna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Sikorzynska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Teora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Bucuresti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2003</w:t>
            </w:r>
          </w:p>
          <w:p w:rsidR="00CE361D" w:rsidRPr="00CE361D" w:rsidRDefault="00CE361D" w:rsidP="00CE361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English Grammar – Theory and Practice,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Constantin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Paidos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Polirom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Iasi, 2001</w:t>
            </w:r>
          </w:p>
          <w:p w:rsidR="00CE361D" w:rsidRPr="00CE361D" w:rsidRDefault="00CE361D" w:rsidP="00CE361D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Go ahead – English course for business studies – upper-intermediate,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Rodica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Ştefan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Mihaela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Pricope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Elena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Beldea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Fundaţiei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România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mâine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2001</w:t>
            </w:r>
          </w:p>
          <w:p w:rsidR="00CE361D" w:rsidRPr="00CE361D" w:rsidRDefault="00CE361D" w:rsidP="00CE361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Test your business English Vocabulary, 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Alexander Hollinger,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Teora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2004</w:t>
            </w:r>
          </w:p>
          <w:p w:rsidR="00CE361D" w:rsidRPr="00CE361D" w:rsidRDefault="00CE361D" w:rsidP="00CE361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Practical Course of English,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Mihaela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Chilărescu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Constantin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Paidos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Ed.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Polirom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2006</w:t>
            </w:r>
          </w:p>
        </w:tc>
      </w:tr>
      <w:tr w:rsidR="00CE361D" w:rsidRPr="00CE361D" w:rsidTr="00F12484">
        <w:tc>
          <w:tcPr>
            <w:tcW w:w="5000" w:type="pct"/>
            <w:gridSpan w:val="4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Bibliografie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minimală</w:t>
            </w:r>
            <w:proofErr w:type="spellEnd"/>
          </w:p>
        </w:tc>
      </w:tr>
      <w:tr w:rsidR="00CE361D" w:rsidRPr="00CE361D" w:rsidTr="00F12484">
        <w:tc>
          <w:tcPr>
            <w:tcW w:w="5000" w:type="pct"/>
            <w:gridSpan w:val="4"/>
            <w:shd w:val="clear" w:color="auto" w:fill="auto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English for Business and Administration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Prosper with English, British Council,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Cavallioti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Publishers, Bucharest, 2010</w:t>
            </w:r>
          </w:p>
          <w:p w:rsidR="00CE361D" w:rsidRPr="00CE361D" w:rsidRDefault="00CE361D" w:rsidP="00CE36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Învaţă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engleza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cu Andrei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Bantaş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Teora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2006</w:t>
            </w:r>
          </w:p>
          <w:p w:rsidR="00CE361D" w:rsidRPr="00CE361D" w:rsidRDefault="00CE361D" w:rsidP="00CE36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Intermediate language practice, 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Michael Vince, MacMillan Heinemann, 1998</w:t>
            </w:r>
          </w:p>
          <w:p w:rsidR="00CE361D" w:rsidRPr="00CE361D" w:rsidRDefault="00CE361D" w:rsidP="00CE36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Advanced language practice , 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Michael Vince with Peter Sunderland, MacMillan Heinemann, 2003</w:t>
            </w:r>
          </w:p>
          <w:p w:rsidR="00CE361D" w:rsidRPr="00CE361D" w:rsidRDefault="00CE361D" w:rsidP="00CE36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Dicţionar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Economic,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Nicolae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Ionescu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Cruţan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Ed.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Teora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, 2006</w:t>
            </w:r>
          </w:p>
        </w:tc>
      </w:tr>
    </w:tbl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9. Coroborarea </w:t>
      </w: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conţinuturilor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disciplinei cu </w:t>
      </w: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aşteptările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</w:t>
      </w: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reprezentanţilor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</w:t>
      </w: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comunităţii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epistemice, </w:t>
      </w: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asociaţiilor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profesionale </w:t>
      </w:r>
      <w:proofErr w:type="spellStart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şi</w:t>
      </w:r>
      <w:proofErr w:type="spellEnd"/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 xml:space="preserve">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CE361D" w:rsidRPr="00CE361D" w:rsidTr="00F12484">
        <w:tc>
          <w:tcPr>
            <w:tcW w:w="9747" w:type="dxa"/>
          </w:tcPr>
          <w:p w:rsidR="00CE361D" w:rsidRPr="00CE361D" w:rsidRDefault="00CE361D" w:rsidP="00CE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Conţinutul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disciplinei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este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concordanţă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cele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disciplinelor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similare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predate la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programe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studii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licenţă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la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facultăţi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profil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ţară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străinătate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cadrul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întâlnirilor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reprezentanţii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asociaţiilor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profesionale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angajatorii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aceştia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fost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consultaţi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privire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conţinutul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disciplinei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astfel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încât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competenţele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dobândite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absolvenţii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acestei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specializări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să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răspundă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cerinţelor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pieţei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muncii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</w:p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  <w:r w:rsidRPr="00CE361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  <w:t>10. 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3953"/>
        <w:gridCol w:w="2487"/>
        <w:gridCol w:w="1606"/>
      </w:tblGrid>
      <w:tr w:rsidR="00CE361D" w:rsidRPr="00CE361D" w:rsidTr="00F12484">
        <w:trPr>
          <w:trHeight w:val="585"/>
        </w:trPr>
        <w:tc>
          <w:tcPr>
            <w:tcW w:w="803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59" w:type="pct"/>
            <w:shd w:val="clear" w:color="auto" w:fill="auto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298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40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CE361D" w:rsidRPr="00CE361D" w:rsidTr="00F12484">
        <w:trPr>
          <w:trHeight w:val="262"/>
        </w:trPr>
        <w:tc>
          <w:tcPr>
            <w:tcW w:w="803" w:type="pct"/>
            <w:shd w:val="clear" w:color="auto" w:fill="auto"/>
            <w:vAlign w:val="center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sz w:val="24"/>
                <w:szCs w:val="24"/>
              </w:rPr>
              <w:t>Curs</w:t>
            </w:r>
          </w:p>
        </w:tc>
        <w:tc>
          <w:tcPr>
            <w:tcW w:w="2059" w:type="pct"/>
            <w:shd w:val="clear" w:color="auto" w:fill="auto"/>
          </w:tcPr>
          <w:p w:rsidR="00CE361D" w:rsidRPr="00CE361D" w:rsidRDefault="00CE361D" w:rsidP="00CE361D">
            <w:pPr>
              <w:tabs>
                <w:tab w:val="left" w:pos="360"/>
              </w:tabs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8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CE361D" w:rsidRPr="00CE361D" w:rsidTr="00F12484">
        <w:trPr>
          <w:trHeight w:val="262"/>
        </w:trPr>
        <w:tc>
          <w:tcPr>
            <w:tcW w:w="803" w:type="pct"/>
            <w:shd w:val="clear" w:color="auto" w:fill="auto"/>
            <w:vAlign w:val="center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Seminar </w:t>
            </w:r>
          </w:p>
        </w:tc>
        <w:tc>
          <w:tcPr>
            <w:tcW w:w="2059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Îndeplinirea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unor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obiective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specifice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punerea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în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aplicare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abilităţilor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dobândite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E361D" w:rsidRPr="00CE361D" w:rsidRDefault="00CE361D" w:rsidP="00CE361D">
            <w:pPr>
              <w:tabs>
                <w:tab w:val="left" w:pos="360"/>
              </w:tabs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Cunoaşterea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şi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înţelegerea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conţinutului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cursurilor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la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nivelul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ideilor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esenţiale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E361D" w:rsidRPr="00CE361D" w:rsidRDefault="00CE361D" w:rsidP="00CE361D">
            <w:pPr>
              <w:tabs>
                <w:tab w:val="left" w:pos="360"/>
              </w:tabs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stabilirea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corecta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echivalentelor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lingvistice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in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parcurgerea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textelor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caracter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juridic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in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romana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engleza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E361D" w:rsidRPr="00CE361D" w:rsidRDefault="00CE361D" w:rsidP="00CE361D">
            <w:pPr>
              <w:tabs>
                <w:tab w:val="left" w:pos="360"/>
              </w:tabs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traducerea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scrisa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sau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orala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unor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texte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caracter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administrativ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CP 6</w:t>
            </w:r>
            <w:bookmarkStart w:id="0" w:name="_GoBack"/>
            <w:bookmarkEnd w:id="0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,CT 2)</w:t>
            </w:r>
          </w:p>
          <w:p w:rsidR="00CE361D" w:rsidRPr="00CE361D" w:rsidRDefault="00CE361D" w:rsidP="00CE3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8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Test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grilă</w:t>
            </w:r>
            <w:proofErr w:type="spellEnd"/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Evaluare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continuă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pe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parcursul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semestrului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orale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și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scrise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pe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testelor-grilă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activităţilor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individuale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şi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grup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susţinute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în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cadrul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seminariilor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sarcini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grup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studiu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individual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studiu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caz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comentariu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text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referat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aplicaţii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 xml:space="preserve"> practice</w:t>
            </w:r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test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docimologic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)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o-RO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/>
              </w:rPr>
              <w:t>Studen</w:t>
            </w:r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ții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care nu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participa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la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toate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seminariile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vor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trebui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realizeze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cate un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referat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pentru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fiecare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seminar.</w:t>
            </w:r>
          </w:p>
        </w:tc>
        <w:tc>
          <w:tcPr>
            <w:tcW w:w="84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50%</w:t>
            </w: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50%</w:t>
            </w:r>
          </w:p>
        </w:tc>
      </w:tr>
      <w:tr w:rsidR="00CE361D" w:rsidRPr="00CE361D" w:rsidTr="00F12484">
        <w:trPr>
          <w:trHeight w:val="262"/>
        </w:trPr>
        <w:tc>
          <w:tcPr>
            <w:tcW w:w="803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059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1298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4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CE361D" w:rsidRPr="00CE361D" w:rsidTr="00F12484">
        <w:trPr>
          <w:trHeight w:val="262"/>
        </w:trPr>
        <w:tc>
          <w:tcPr>
            <w:tcW w:w="803" w:type="pct"/>
            <w:vAlign w:val="center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59" w:type="pct"/>
            <w:shd w:val="clear" w:color="auto" w:fill="auto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1298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4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</w:tbl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CE361D" w:rsidRPr="00CE361D" w:rsidTr="00F12484">
        <w:tc>
          <w:tcPr>
            <w:tcW w:w="500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10.1. Standard minim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performanţă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CE361D" w:rsidRPr="00CE361D" w:rsidTr="00F12484">
        <w:tc>
          <w:tcPr>
            <w:tcW w:w="5000" w:type="pct"/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CE361D" w:rsidRPr="00CE361D" w:rsidTr="00F1248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1D" w:rsidRPr="00CE361D" w:rsidRDefault="00CE361D" w:rsidP="00CE361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10.2. Standard minim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performanţă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CE361D" w:rsidRPr="00CE361D" w:rsidTr="00F1248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left" w:pos="132"/>
                <w:tab w:val="left" w:pos="252"/>
                <w:tab w:val="left" w:pos="516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Demonstrarea cunoașterii principalelor noţiuni, idei, problematici din tematica disciplinei;</w:t>
            </w:r>
          </w:p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left" w:pos="132"/>
                <w:tab w:val="left" w:pos="252"/>
                <w:tab w:val="left" w:pos="516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Elaborarea unui referat/studiu de caz din tematica propusă;</w:t>
            </w:r>
          </w:p>
          <w:p w:rsidR="00CE361D" w:rsidRPr="00CE361D" w:rsidRDefault="00CE361D" w:rsidP="00CE361D">
            <w:pPr>
              <w:numPr>
                <w:ilvl w:val="0"/>
                <w:numId w:val="2"/>
              </w:numPr>
              <w:tabs>
                <w:tab w:val="left" w:pos="132"/>
                <w:tab w:val="left" w:pos="252"/>
                <w:tab w:val="left" w:pos="516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Demonstrarea</w:t>
            </w: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parcurgerii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bibliografiei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minimale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CE361D" w:rsidRPr="00CE361D" w:rsidRDefault="00CE361D" w:rsidP="00CE361D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CE361D" w:rsidRPr="00CE361D" w:rsidTr="00F12484">
        <w:tc>
          <w:tcPr>
            <w:tcW w:w="1699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Semnătura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titularului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curs</w:t>
            </w:r>
          </w:p>
        </w:tc>
        <w:tc>
          <w:tcPr>
            <w:tcW w:w="1602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Semnătura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titularului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CE361D" w:rsidRPr="00CE361D" w:rsidTr="00F12484">
        <w:tc>
          <w:tcPr>
            <w:tcW w:w="1699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20.09.2024</w:t>
            </w:r>
          </w:p>
        </w:tc>
        <w:tc>
          <w:tcPr>
            <w:tcW w:w="1699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6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CE361D" w:rsidRPr="00CE361D" w:rsidTr="00F12484"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avizării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Semnătura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responsabilului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program</w:t>
            </w:r>
          </w:p>
        </w:tc>
      </w:tr>
      <w:tr w:rsidR="00CE361D" w:rsidRPr="00CE361D" w:rsidTr="00F12484"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27.09.2024</w:t>
            </w:r>
          </w:p>
        </w:tc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E361D" w:rsidRPr="00CE361D" w:rsidRDefault="00CE361D" w:rsidP="00CE361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CE361D" w:rsidRPr="00CE361D" w:rsidTr="00F12484"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avizării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Semnătura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directorului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departament</w:t>
            </w:r>
            <w:proofErr w:type="spellEnd"/>
          </w:p>
        </w:tc>
      </w:tr>
      <w:tr w:rsidR="00CE361D" w:rsidRPr="00CE361D" w:rsidTr="00F12484"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27.09.2024</w:t>
            </w:r>
          </w:p>
        </w:tc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CE361D" w:rsidRPr="00CE361D" w:rsidTr="00F12484"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aprobării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consiliul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Semnătura</w:t>
            </w:r>
            <w:proofErr w:type="spellEnd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decanului</w:t>
            </w:r>
            <w:proofErr w:type="spellEnd"/>
          </w:p>
        </w:tc>
      </w:tr>
      <w:tr w:rsidR="00CE361D" w:rsidRPr="00CE361D" w:rsidTr="00F12484"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61D">
              <w:rPr>
                <w:rFonts w:ascii="Times New Roman" w:eastAsia="Times New Roman" w:hAnsi="Times New Roman" w:cs="Times New Roman"/>
                <w:sz w:val="20"/>
                <w:szCs w:val="20"/>
              </w:rPr>
              <w:t>30.09.2024</w:t>
            </w:r>
          </w:p>
        </w:tc>
        <w:tc>
          <w:tcPr>
            <w:tcW w:w="2500" w:type="pct"/>
          </w:tcPr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E361D" w:rsidRPr="00CE361D" w:rsidRDefault="00CE361D" w:rsidP="00CE3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CE361D" w:rsidRPr="00CE361D" w:rsidRDefault="00CE361D" w:rsidP="00CE36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:rsidR="00723D18" w:rsidRDefault="00CE361D"/>
    <w:sectPr w:rsidR="00723D18" w:rsidSect="00A161D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D06" w:rsidRDefault="00CE361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7D06" w:rsidRDefault="00CE36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452" w:rsidRDefault="00CE361D" w:rsidP="00B16452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E7D06" w:rsidRPr="00A040BC" w:rsidRDefault="00CE361D" w:rsidP="00A040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BC" w:rsidRDefault="00CE361D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BC" w:rsidRDefault="00CE36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BC" w:rsidRDefault="00CE36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BC" w:rsidRDefault="00CE3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76FA2"/>
    <w:multiLevelType w:val="hybridMultilevel"/>
    <w:tmpl w:val="DE2A8E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070D0"/>
    <w:multiLevelType w:val="hybridMultilevel"/>
    <w:tmpl w:val="380EC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45F5B"/>
    <w:multiLevelType w:val="hybridMultilevel"/>
    <w:tmpl w:val="D85018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E4BEC"/>
    <w:multiLevelType w:val="hybridMultilevel"/>
    <w:tmpl w:val="D4A07E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B00EA7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1D"/>
    <w:rsid w:val="00164E10"/>
    <w:rsid w:val="004E5401"/>
    <w:rsid w:val="00C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22DD8"/>
  <w15:chartTrackingRefBased/>
  <w15:docId w15:val="{DAD700DB-3878-423A-8982-46AC7750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E3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361D"/>
  </w:style>
  <w:style w:type="paragraph" w:styleId="Header">
    <w:name w:val="header"/>
    <w:basedOn w:val="Normal"/>
    <w:link w:val="HeaderChar"/>
    <w:uiPriority w:val="99"/>
    <w:semiHidden/>
    <w:unhideWhenUsed/>
    <w:rsid w:val="00CE3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361D"/>
  </w:style>
  <w:style w:type="character" w:styleId="PageNumber">
    <w:name w:val="page number"/>
    <w:basedOn w:val="DefaultParagraphFont"/>
    <w:rsid w:val="00CE3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 Gales</dc:creator>
  <cp:keywords/>
  <dc:description/>
  <cp:lastModifiedBy>Narcisa Gales</cp:lastModifiedBy>
  <cp:revision>1</cp:revision>
  <dcterms:created xsi:type="dcterms:W3CDTF">2024-10-06T10:40:00Z</dcterms:created>
  <dcterms:modified xsi:type="dcterms:W3CDTF">2024-10-06T10:44:00Z</dcterms:modified>
</cp:coreProperties>
</file>